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21B3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221B3E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2F1516">
                    <w:rPr>
                      <w:sz w:val="26"/>
                      <w:szCs w:val="26"/>
                    </w:rPr>
                    <w:t xml:space="preserve">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Pr="00221B3E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КС-35714, КС-2561,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>
        <w:rPr>
          <w:bCs/>
          <w:sz w:val="24"/>
          <w:szCs w:val="24"/>
        </w:rPr>
        <w:t>КС-</w:t>
      </w:r>
      <w:r w:rsidR="004972C0" w:rsidRPr="004972C0">
        <w:t xml:space="preserve"> 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Автогидроподъемники: ВС-22-06, ВС-22-04, ТВ-26М,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 xml:space="preserve">Т-15, АГП-18Т, </w:t>
      </w:r>
      <w:r w:rsidR="008F3143">
        <w:rPr>
          <w:bCs/>
          <w:sz w:val="24"/>
          <w:szCs w:val="24"/>
        </w:rPr>
        <w:t>ТВ-26Е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221B3E">
        <w:rPr>
          <w:bCs/>
          <w:sz w:val="24"/>
          <w:szCs w:val="24"/>
        </w:rPr>
        <w:t>9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proofErr w:type="gramStart"/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  <w:proofErr w:type="gramEnd"/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2F1516">
        <w:t>8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D920D1" w:rsidRPr="00D920D1" w:rsidRDefault="00D920D1" w:rsidP="00D920D1">
      <w:pPr>
        <w:ind w:left="1276"/>
      </w:pPr>
      <w:r w:rsidRPr="00D276DF">
        <w:rPr>
          <w:b/>
          <w:sz w:val="22"/>
          <w:szCs w:val="22"/>
        </w:rPr>
        <w:t>9.</w:t>
      </w:r>
      <w:r w:rsidR="00D276DF" w:rsidRPr="00D276DF">
        <w:rPr>
          <w:b/>
          <w:sz w:val="22"/>
          <w:szCs w:val="22"/>
        </w:rPr>
        <w:t>4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221B3E" w:rsidRDefault="00221B3E" w:rsidP="00221B3E">
            <w:pPr>
              <w:ind w:left="-146"/>
              <w:jc w:val="center"/>
              <w:rPr>
                <w:lang w:val="en-US"/>
              </w:rPr>
            </w:pPr>
            <w:r>
              <w:rPr>
                <w:lang w:val="en-US"/>
              </w:rPr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>и наладка приборов безопасности автокранов:     КС-2561, КС-4562, СМК-101, ДЭК-251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3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 xml:space="preserve">и наладка приборов безопасности </w:t>
            </w:r>
            <w:r>
              <w:rPr>
                <w:b/>
              </w:rPr>
              <w:lastRenderedPageBreak/>
              <w:t>автогидроподъемников: АПТ-14, Т-15, АГП-14Т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lastRenderedPageBreak/>
              <w:t>4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 и наладка приборов безопасности автогидроподъемников: АГП-18Т, ВС-22, АГП-22 06,</w:t>
            </w:r>
            <w:r w:rsidRPr="004972C0">
              <w:rPr>
                <w:bCs/>
              </w:rPr>
              <w:t xml:space="preserve"> </w:t>
            </w:r>
            <w:r w:rsidRPr="009F5FE8">
              <w:rPr>
                <w:b/>
                <w:bCs/>
              </w:rPr>
              <w:t>Т-322</w:t>
            </w:r>
            <w:r>
              <w:rPr>
                <w:b/>
                <w:bCs/>
              </w:rPr>
              <w:t xml:space="preserve">, </w:t>
            </w:r>
            <w:r w:rsidRPr="00DB6D3D">
              <w:rPr>
                <w:b/>
                <w:bCs/>
              </w:rPr>
              <w:t>АГП-3732V5-AUTEL150</w:t>
            </w:r>
            <w:r>
              <w:rPr>
                <w:b/>
                <w:bCs/>
              </w:rPr>
              <w:t>,</w:t>
            </w:r>
            <w:r>
              <w:t xml:space="preserve"> </w:t>
            </w:r>
            <w:r>
              <w:rPr>
                <w:b/>
                <w:bCs/>
              </w:rPr>
              <w:t>ПСС-131.18</w:t>
            </w:r>
            <w:r w:rsidRPr="00BB43EC">
              <w:rPr>
                <w:b/>
                <w:bCs/>
              </w:rPr>
              <w:t>Э,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rPr>
          <w:trHeight w:val="560"/>
        </w:trPr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и наладка приборов безопасности автогидроподъемников: АК-30, </w:t>
            </w:r>
            <w:r w:rsidRPr="002F1516">
              <w:rPr>
                <w:b/>
              </w:rPr>
              <w:t>ПМС-28, ПСС-141.29Э</w:t>
            </w:r>
            <w:r>
              <w:rPr>
                <w:b/>
              </w:rPr>
              <w:t>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Default="00221B3E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и наладка приборов безопасности </w:t>
            </w:r>
            <w:proofErr w:type="gramStart"/>
            <w:r>
              <w:rPr>
                <w:b/>
              </w:rPr>
              <w:t>кран-манипуляторов</w:t>
            </w:r>
            <w:proofErr w:type="gramEnd"/>
            <w:r>
              <w:rPr>
                <w:b/>
              </w:rPr>
              <w:t>:</w:t>
            </w:r>
            <w:r>
              <w:t xml:space="preserve"> </w:t>
            </w:r>
            <w:r w:rsidRPr="00872352">
              <w:rPr>
                <w:b/>
                <w:bCs/>
              </w:rPr>
              <w:t>КАРАТ-К-1-LS2656-250</w:t>
            </w:r>
            <w:r>
              <w:rPr>
                <w:b/>
                <w:bCs/>
              </w:rPr>
              <w:t>, КМ-5328</w:t>
            </w:r>
            <w:r>
              <w:rPr>
                <w:b/>
                <w:bCs/>
                <w:lang w:val="en-US"/>
              </w:rPr>
              <w:t>BN</w:t>
            </w:r>
            <w:r w:rsidRPr="00BB43EC"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PK</w:t>
            </w:r>
            <w:r w:rsidRPr="00BB43EC">
              <w:rPr>
                <w:b/>
                <w:bCs/>
              </w:rPr>
              <w:t>18500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  <w:bookmarkStart w:id="0" w:name="_GoBack"/>
            <w:bookmarkEnd w:id="0"/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D276DF" w:rsidP="00FF731C">
      <w:pPr>
        <w:ind w:left="851"/>
        <w:jc w:val="both"/>
      </w:pPr>
      <w:r>
        <w:rPr>
          <w:b/>
          <w:sz w:val="22"/>
          <w:szCs w:val="22"/>
        </w:rPr>
        <w:t>9.5</w:t>
      </w:r>
      <w:proofErr w:type="gramStart"/>
      <w:r w:rsidR="00145CD3" w:rsidRPr="00E6052F">
        <w:rPr>
          <w:b/>
          <w:sz w:val="22"/>
          <w:szCs w:val="22"/>
        </w:rPr>
        <w:t xml:space="preserve"> П</w:t>
      </w:r>
      <w:proofErr w:type="gramEnd"/>
      <w:r w:rsidR="00AB61F6" w:rsidRPr="00376C4A">
        <w:t xml:space="preserve">о результатам конкурентной процедуры между  подрядчиком и  </w:t>
      </w:r>
      <w:r w:rsidR="00872352">
        <w:t>филиалом  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AB61F6"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66D8"/>
    <w:rsid w:val="00F30D55"/>
    <w:rsid w:val="00F37F7C"/>
    <w:rsid w:val="00F52D2E"/>
    <w:rsid w:val="00F60D48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9</cp:revision>
  <cp:lastPrinted>2015-02-11T05:03:00Z</cp:lastPrinted>
  <dcterms:created xsi:type="dcterms:W3CDTF">2015-02-11T05:04:00Z</dcterms:created>
  <dcterms:modified xsi:type="dcterms:W3CDTF">2018-05-28T14:08:00Z</dcterms:modified>
</cp:coreProperties>
</file>